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46301" w14:textId="31851506" w:rsidR="00DA790F" w:rsidRPr="00564268" w:rsidRDefault="00EF7381" w:rsidP="00A25CE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3263F">
        <w:t>50721</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1E9B3F73" w14:textId="77777777" w:rsidTr="00E710D3">
        <w:trPr>
          <w:trHeight w:val="576"/>
        </w:trPr>
        <w:tc>
          <w:tcPr>
            <w:tcW w:w="4826" w:type="dxa"/>
          </w:tcPr>
          <w:bookmarkStart w:id="2" w:name="DocumentStyle"/>
          <w:p w14:paraId="06F7060B" w14:textId="77777777" w:rsidR="00E710D3" w:rsidRPr="00E710D3" w:rsidRDefault="00CE3DD3" w:rsidP="00912358">
            <w:pPr>
              <w:spacing w:after="0" w:line="240" w:lineRule="auto"/>
              <w:ind w:firstLine="0"/>
              <w:jc w:val="left"/>
              <w:rPr>
                <w:b/>
                <w:szCs w:val="20"/>
              </w:rPr>
            </w:pPr>
            <w:sdt>
              <w:sdtPr>
                <w:rPr>
                  <w:b/>
                  <w:caps/>
                  <w:szCs w:val="20"/>
                </w:rPr>
                <w:alias w:val="Case Style"/>
                <w:tag w:val="CS"/>
                <w:id w:val="-920102863"/>
                <w:placeholder>
                  <w:docPart w:val="FCAA684ADB274511A0B812F222063321"/>
                </w:placeholder>
                <w15:appearance w15:val="hidden"/>
              </w:sdtPr>
              <w:sdtEndPr/>
              <w:sdtContent>
                <w:r w:rsidR="0073263F">
                  <w:rPr>
                    <w:b/>
                    <w:caps/>
                    <w:szCs w:val="20"/>
                  </w:rPr>
                  <w:t xml:space="preserve">APPLICATION OF </w:t>
                </w:r>
                <w:proofErr w:type="gramStart"/>
                <w:r w:rsidR="0073263F">
                  <w:rPr>
                    <w:b/>
                    <w:caps/>
                    <w:szCs w:val="20"/>
                  </w:rPr>
                  <w:t>CRYSTAL CLEAR</w:t>
                </w:r>
                <w:proofErr w:type="gramEnd"/>
                <w:r w:rsidR="0073263F">
                  <w:rPr>
                    <w:b/>
                    <w:caps/>
                    <w:szCs w:val="20"/>
                  </w:rPr>
                  <w:t xml:space="preserve"> WATER, INC. FOR AUTHORITY TO CHANGE RATES</w:t>
                </w:r>
              </w:sdtContent>
            </w:sdt>
            <w:bookmarkEnd w:id="2"/>
            <w:r w:rsidR="00912358">
              <w:rPr>
                <w:b/>
                <w:caps/>
                <w:szCs w:val="20"/>
              </w:rPr>
              <w:t xml:space="preserve"> </w:t>
            </w:r>
          </w:p>
        </w:tc>
        <w:tc>
          <w:tcPr>
            <w:tcW w:w="336" w:type="dxa"/>
            <w:noWrap/>
          </w:tcPr>
          <w:p w14:paraId="4DAF7DF5" w14:textId="77777777" w:rsidR="0073263F" w:rsidRDefault="0073263F" w:rsidP="008647EB">
            <w:pPr>
              <w:spacing w:after="0" w:line="240" w:lineRule="auto"/>
              <w:ind w:firstLine="0"/>
              <w:rPr>
                <w:b/>
                <w:szCs w:val="20"/>
              </w:rPr>
            </w:pPr>
            <w:r>
              <w:rPr>
                <w:b/>
                <w:szCs w:val="20"/>
              </w:rPr>
              <w:t>§</w:t>
            </w:r>
          </w:p>
          <w:p w14:paraId="607FEF0D" w14:textId="77777777" w:rsidR="0073263F" w:rsidRDefault="0073263F" w:rsidP="008647EB">
            <w:pPr>
              <w:spacing w:after="0" w:line="240" w:lineRule="auto"/>
              <w:ind w:firstLine="0"/>
              <w:rPr>
                <w:b/>
                <w:szCs w:val="20"/>
              </w:rPr>
            </w:pPr>
            <w:r>
              <w:rPr>
                <w:b/>
                <w:szCs w:val="20"/>
              </w:rPr>
              <w:t>§</w:t>
            </w:r>
          </w:p>
          <w:p w14:paraId="2702B7C4" w14:textId="77777777" w:rsidR="00DA790F" w:rsidRPr="008647EB" w:rsidRDefault="0073263F" w:rsidP="008647EB">
            <w:pPr>
              <w:spacing w:after="0" w:line="240" w:lineRule="auto"/>
              <w:ind w:firstLine="0"/>
              <w:rPr>
                <w:b/>
                <w:szCs w:val="20"/>
              </w:rPr>
            </w:pPr>
            <w:r>
              <w:rPr>
                <w:b/>
                <w:szCs w:val="20"/>
              </w:rPr>
              <w:t>§</w:t>
            </w:r>
          </w:p>
        </w:tc>
        <w:tc>
          <w:tcPr>
            <w:tcW w:w="4198" w:type="dxa"/>
          </w:tcPr>
          <w:p w14:paraId="2E509F3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5F8BF9E"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2DC0AE9"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44DDD819" w14:textId="77777777" w:rsidR="00DA790F" w:rsidRPr="008647EB" w:rsidRDefault="00DA790F" w:rsidP="008647EB">
      <w:pPr>
        <w:spacing w:after="0" w:line="240" w:lineRule="auto"/>
        <w:ind w:firstLine="0"/>
        <w:jc w:val="center"/>
        <w:rPr>
          <w:b/>
          <w:caps/>
        </w:rPr>
      </w:pPr>
    </w:p>
    <w:p w14:paraId="0DB80F33" w14:textId="6611537A" w:rsidR="00DA790F" w:rsidRPr="008647EB" w:rsidRDefault="001A09FF" w:rsidP="008C04AB">
      <w:pPr>
        <w:pStyle w:val="CaseCaption"/>
      </w:pPr>
      <w:r>
        <w:t>COMMISSION STAFF’s</w:t>
      </w:r>
      <w:r w:rsidR="0073263F">
        <w:t xml:space="preserve"> </w:t>
      </w:r>
      <w:r w:rsidR="00F26DBD">
        <w:t>Statement of Position</w:t>
      </w:r>
    </w:p>
    <w:p w14:paraId="181DDDE5" w14:textId="6A8C0D0E" w:rsidR="001F5306" w:rsidRPr="001F5306" w:rsidRDefault="001F5306" w:rsidP="001F5306">
      <w:pPr>
        <w:pStyle w:val="Paragraph"/>
        <w:numPr>
          <w:ilvl w:val="0"/>
          <w:numId w:val="27"/>
        </w:numPr>
        <w:jc w:val="center"/>
        <w:rPr>
          <w:b/>
          <w:bCs/>
          <w:iCs/>
        </w:rPr>
      </w:pPr>
      <w:r>
        <w:rPr>
          <w:b/>
          <w:bCs/>
          <w:iCs/>
        </w:rPr>
        <w:t>INTRODUCTION</w:t>
      </w:r>
    </w:p>
    <w:p w14:paraId="53988EAF" w14:textId="4D2F3935" w:rsidR="00F54DF7" w:rsidRPr="004B6D44" w:rsidRDefault="00F26DBD" w:rsidP="00F54DF7">
      <w:pPr>
        <w:pStyle w:val="Paragraph"/>
        <w:rPr>
          <w:iCs/>
        </w:rPr>
      </w:pPr>
      <w:r w:rsidRPr="00B82049">
        <w:t xml:space="preserve">On </w:t>
      </w:r>
      <w:r>
        <w:t>May 3, 202</w:t>
      </w:r>
      <w:r w:rsidR="001844B4">
        <w:t>2</w:t>
      </w:r>
      <w:r>
        <w:t xml:space="preserve">, the Office of Policy &amp; Docket Management (OPDM) issued an Order Remanding to Docket Management (Remand Order), memorializing the Commissioners of the PUC’s discussion of the case during the April 21, 2022 Open Meeting and requiring parties to address questions about affiliates, notice, and rate case expenses. On </w:t>
      </w:r>
      <w:r w:rsidR="00EA56FD">
        <w:t>March 8, 2023</w:t>
      </w:r>
      <w:r>
        <w:t xml:space="preserve">, Parties filed </w:t>
      </w:r>
      <w:r w:rsidRPr="007C6859">
        <w:t xml:space="preserve">a </w:t>
      </w:r>
      <w:r>
        <w:t>Second R</w:t>
      </w:r>
      <w:r w:rsidRPr="007C6859">
        <w:t>evised</w:t>
      </w:r>
      <w:r>
        <w:t xml:space="preserve"> Unanimous</w:t>
      </w:r>
      <w:r w:rsidRPr="007C6859">
        <w:t xml:space="preserve"> Stipulation and Settlement Agreement</w:t>
      </w:r>
      <w:r>
        <w:t xml:space="preserve"> (Agreement), and Staff hereby submits this Statement of Position addressing the Commissioners’ questions and supporting the Agreement</w:t>
      </w:r>
      <w:r w:rsidR="00F54DF7">
        <w:t xml:space="preserve">. </w:t>
      </w:r>
    </w:p>
    <w:p w14:paraId="1EA6BB8C" w14:textId="1751E824" w:rsidR="00FE5A24" w:rsidRDefault="00F26DBD" w:rsidP="001F5306">
      <w:pPr>
        <w:pStyle w:val="Heading1"/>
        <w:numPr>
          <w:ilvl w:val="0"/>
          <w:numId w:val="27"/>
        </w:numPr>
        <w:tabs>
          <w:tab w:val="clear" w:pos="1440"/>
        </w:tabs>
        <w:ind w:left="0" w:right="0" w:firstLine="0"/>
      </w:pPr>
      <w:r>
        <w:t>STATEMENT OF POSITION</w:t>
      </w:r>
    </w:p>
    <w:p w14:paraId="01268A64" w14:textId="581F268D" w:rsidR="00F26DBD" w:rsidRDefault="00F26DBD" w:rsidP="00F26DBD">
      <w:pPr>
        <w:pStyle w:val="Paragraph"/>
        <w:numPr>
          <w:ilvl w:val="0"/>
          <w:numId w:val="28"/>
        </w:numPr>
        <w:ind w:left="360"/>
        <w:rPr>
          <w:b/>
          <w:bCs/>
        </w:rPr>
      </w:pPr>
      <w:r>
        <w:rPr>
          <w:b/>
          <w:bCs/>
        </w:rPr>
        <w:t>Questions Regarding Affiliates</w:t>
      </w:r>
    </w:p>
    <w:p w14:paraId="3E16D713" w14:textId="38538054" w:rsidR="00F26DBD" w:rsidRDefault="00F26DBD" w:rsidP="00F26DBD">
      <w:pPr>
        <w:pStyle w:val="Paragraph"/>
      </w:pPr>
      <w:r>
        <w:t xml:space="preserve">Staff contends that Crystal Clear properly addressed the six questions posed regarding affiliates. The first two questions request more detailed information about Robert Payne’s additional businesses. Crystal Clear directly answers the first question asking what businesses, other than Crystal Clear, that were owned and operated by Crystal Clear also received payments from Crystal Clear during the test year in its August 1, </w:t>
      </w:r>
      <w:proofErr w:type="gramStart"/>
      <w:r>
        <w:t>2022</w:t>
      </w:r>
      <w:proofErr w:type="gramEnd"/>
      <w:r>
        <w:t xml:space="preserve"> filing.</w:t>
      </w:r>
      <w:r w:rsidRPr="009B4CA1">
        <w:rPr>
          <w:rStyle w:val="FootnoteReference"/>
        </w:rPr>
        <w:footnoteReference w:id="2"/>
      </w:r>
    </w:p>
    <w:p w14:paraId="766EF765" w14:textId="6EFA304B" w:rsidR="00F26DBD" w:rsidRDefault="00F26DBD" w:rsidP="00F26DBD">
      <w:pPr>
        <w:pStyle w:val="Paragraph"/>
      </w:pPr>
      <w:r>
        <w:t xml:space="preserve">The second question poses a series of additional questions about other businesses Mr. Payne owns, directly or indirectly, and it is Staff’s opinion that Crystal Clear provided sufficient information to address the second set of questions about Mr. Payne’s ownership interests in several businesses in Crystal Clear’s August 1, </w:t>
      </w:r>
      <w:proofErr w:type="gramStart"/>
      <w:r>
        <w:t>2022</w:t>
      </w:r>
      <w:proofErr w:type="gramEnd"/>
      <w:r>
        <w:t xml:space="preserve"> filing.</w:t>
      </w:r>
      <w:r w:rsidRPr="00B14E41">
        <w:rPr>
          <w:rStyle w:val="FootnoteReference"/>
        </w:rPr>
        <w:footnoteReference w:id="3"/>
      </w:r>
    </w:p>
    <w:p w14:paraId="0F1BA92E" w14:textId="33181917" w:rsidR="00F26DBD" w:rsidRDefault="00F26DBD" w:rsidP="00F26DBD">
      <w:pPr>
        <w:pStyle w:val="Paragraph"/>
      </w:pPr>
      <w:bookmarkStart w:id="3" w:name="_Hlk128134494"/>
      <w:r>
        <w:t xml:space="preserve">The third question requests information about the alleged loan from Mr. Payne to Crystal Clear. As noted in the attached memorandum from Emily Sears, Senior Financial Analyst of the Commission’s Rate Regulation Division, per ratemaking principles, debt capital is used to fund the assets included in the rate base. As part of negotiations between parties and </w:t>
      </w:r>
      <w:proofErr w:type="gramStart"/>
      <w:r>
        <w:t>in an effort to</w:t>
      </w:r>
      <w:proofErr w:type="gramEnd"/>
      <w:r>
        <w:t xml:space="preserve"> keep rate case expenses down, parties settled on removing any reference to the loan from the settlement documents. Nevertheless, Staff can confirm that, per ratemaking principles, the only portion of the loan included in the agreed-upon rates are those that were used to fund the assets in the rate base along with a reasonable cost of the debt. Thus, Staff can still confirm that the terms of the agreement comply with PUC statutes and rules and are based on the principles of ratemaking</w:t>
      </w:r>
      <w:bookmarkEnd w:id="3"/>
      <w:r>
        <w:t>.</w:t>
      </w:r>
    </w:p>
    <w:p w14:paraId="3E8757D4" w14:textId="1E50CCCB" w:rsidR="00F26DBD" w:rsidRDefault="00F26DBD" w:rsidP="00F26DBD">
      <w:pPr>
        <w:pStyle w:val="Paragraph"/>
      </w:pPr>
      <w:r>
        <w:t>In response to the fourth question, Staff submits the attached memorandum from Anna Givens, Director of Financial Review, who identifies rent and cell phone expenses as the two costs Crystal Clear is seeking recovery for that are allocated between Crystal Clear and Robert Payne’s other businesses.</w:t>
      </w:r>
    </w:p>
    <w:p w14:paraId="1CCD547A" w14:textId="4DDD8BA0" w:rsidR="00F26DBD" w:rsidRDefault="00F26DBD" w:rsidP="00F26DBD">
      <w:pPr>
        <w:pStyle w:val="Paragraph"/>
      </w:pPr>
      <w:r>
        <w:t xml:space="preserve">Staff similarly submits the attached memoranda from Anna Givens and from Patricia Garcia, </w:t>
      </w:r>
      <w:r w:rsidRPr="00954B2A">
        <w:t>Infrastructure Analysis Section Director,</w:t>
      </w:r>
      <w:r>
        <w:t xml:space="preserve"> in response to the fifth question regarding whether any payments subject to Texas Water Code (TWC) § 13.185(e) comply with the same statute. Ms. Givens and Ms. Garcia specifically analyzed two expenses: Crystal Clear’s rental of office and warehouse space from RP AG, LLC and its equipment rental from RP Farm Equipment, LLC. As Ms. Givens explains, neither RP AG, LLC nor RP Farm Equipment, LLC rent to other entities, so Crystal Clear is unable to show that the prices are no higher than the prices charged to other customers. Nevertheless, Crystal Clear submitted comparable price quotes for office and warehouse space in McGregor, Texas that demonstrates that the lease expense for the office and warehouse space rented by Crystal Clear is lower than the going market rate.</w:t>
      </w:r>
      <w:r w:rsidRPr="00727A1E">
        <w:rPr>
          <w:rStyle w:val="FootnoteReference"/>
        </w:rPr>
        <w:footnoteReference w:id="4"/>
      </w:r>
      <w:r>
        <w:t xml:space="preserve"> Considering renting office and warehouse space is a typical expense for a water utility, and since the rate is below the going market rate in the area, Ms. Givens concluded that the expense is reasonable and necessary under TWC § 13.185(e). Crystal Clear also submitted comparable price quotes for equipment rental that also indicates that RG Farm Equipment, LLC’s rates are lower than another local equipment rental company’s rates.</w:t>
      </w:r>
      <w:r w:rsidRPr="00727A1E">
        <w:rPr>
          <w:rStyle w:val="FootnoteReference"/>
        </w:rPr>
        <w:footnoteReference w:id="5"/>
      </w:r>
      <w:r>
        <w:t xml:space="preserve"> Ms. Garcia contends that renting equipment is necessary for the operations and maintenance of the Crystal Clear water system, and since the rates were also shown to be below market rates in the area, Ms. Garcia also concluded that the equipment rental were reasonable and necessary and thus met the requirements of TWC § 13.185(e).</w:t>
      </w:r>
    </w:p>
    <w:p w14:paraId="47426240" w14:textId="2150E960" w:rsidR="00F26DBD" w:rsidRDefault="00F26DBD" w:rsidP="00F26DBD">
      <w:pPr>
        <w:pStyle w:val="Paragraph"/>
        <w:rPr>
          <w:b/>
          <w:bCs/>
        </w:rPr>
      </w:pPr>
      <w:r>
        <w:t xml:space="preserve">The final question about affiliates requests information about prospective safeguards, reporting, or accounting practices that the Commission should require to ensure that affiliate costs are accounted for correctly in the future, and specifically whether the Commission should require written agreements between Crystal Clear and its affiliates. As Ms. Givens states in her memo, the Annual Reports to the Commission required by 16 TAC § 24.129 provides safeguards in ensuring that affiliate costs are accounted for, which Crystal Clear has committed to submitting. Additionally, individual contracts with affiliates must be scrutinized to ensure there are sufficient safeguards, reporting, or accounting provisions to ensure that affiliate costs are accounted for, when appropriate. For Crystal Clear, Ms. Givens scrutinized the lease for the office and warehouse rental and concluded it contained sufficient safeguards to ensure the lease was reasonable and necessary. Regarding the equipment rental, however, Crystal Clear represented that it is not industry practice to </w:t>
      </w:r>
      <w:proofErr w:type="gramStart"/>
      <w:r>
        <w:t>enter into</w:t>
      </w:r>
      <w:proofErr w:type="gramEnd"/>
      <w:r>
        <w:t xml:space="preserve"> long-term contracts to rent equipment, so it would not be reasonable for the Commission to require Crystal Clear to enter into a long-term equipment rental contract.</w:t>
      </w:r>
    </w:p>
    <w:p w14:paraId="2764B21A" w14:textId="235452BC" w:rsidR="00F26DBD" w:rsidRDefault="00F26DBD" w:rsidP="00F26DBD">
      <w:pPr>
        <w:pStyle w:val="Paragraph"/>
        <w:numPr>
          <w:ilvl w:val="0"/>
          <w:numId w:val="28"/>
        </w:numPr>
        <w:ind w:left="360"/>
        <w:rPr>
          <w:b/>
          <w:bCs/>
        </w:rPr>
      </w:pPr>
      <w:r>
        <w:rPr>
          <w:b/>
          <w:bCs/>
        </w:rPr>
        <w:t>Question Regarding Notice</w:t>
      </w:r>
    </w:p>
    <w:p w14:paraId="74F6AEB7" w14:textId="607E26C0" w:rsidR="00F26DBD" w:rsidRDefault="00F26DBD" w:rsidP="00F26DBD">
      <w:pPr>
        <w:pStyle w:val="Paragraph"/>
        <w:rPr>
          <w:b/>
          <w:bCs/>
        </w:rPr>
      </w:pPr>
      <w:r>
        <w:t>Regarding whether Crystal Clear provided notice to customers of all changes in fees, new fees, and the proposed consolidated rates, in her memo, Ms. Garcia recommends that Crystal Clear has met all notice requirements.</w:t>
      </w:r>
    </w:p>
    <w:p w14:paraId="7F48FC7D" w14:textId="55D33991" w:rsidR="00F26DBD" w:rsidRPr="00F26DBD" w:rsidRDefault="00F26DBD" w:rsidP="00F26DBD">
      <w:pPr>
        <w:pStyle w:val="Paragraph"/>
        <w:numPr>
          <w:ilvl w:val="0"/>
          <w:numId w:val="28"/>
        </w:numPr>
        <w:ind w:left="360"/>
        <w:rPr>
          <w:b/>
          <w:bCs/>
        </w:rPr>
      </w:pPr>
      <w:r>
        <w:rPr>
          <w:b/>
          <w:bCs/>
        </w:rPr>
        <w:t>Questions Regarding Rate Case Expenses</w:t>
      </w:r>
    </w:p>
    <w:p w14:paraId="110E4D64" w14:textId="37368D2E" w:rsidR="00FE5A24" w:rsidRPr="00FE5A24" w:rsidRDefault="00F26DBD" w:rsidP="003B50E3">
      <w:pPr>
        <w:pStyle w:val="Paragraph"/>
      </w:pPr>
      <w:r>
        <w:t xml:space="preserve">The last set of questions request information about rate case expenses. The first question asks whether the rate case expenses represent the expenses through a date certain, and if so, whether the remaining expenses will be disallowed or deferred to a future proceeding. Although the previous settlement covered the rate case expenses through </w:t>
      </w:r>
      <w:r w:rsidRPr="0040404D">
        <w:t>November 2021, the</w:t>
      </w:r>
      <w:r>
        <w:t xml:space="preserve"> more recent settlement includes all rate case expenses incurred since the initiation of the application. Thus, any rate case expenses claimed by Crystal Clear that are </w:t>
      </w:r>
      <w:r w:rsidR="00404F52">
        <w:t xml:space="preserve">not </w:t>
      </w:r>
      <w:r>
        <w:t>included in the $44,965 amount will be disallowed and not incurred by ratepayers now or in the future.</w:t>
      </w:r>
      <w:r w:rsidRPr="006D7AD5">
        <w:rPr>
          <w:rStyle w:val="FootnoteReference"/>
        </w:rPr>
        <w:footnoteReference w:id="6"/>
      </w:r>
      <w:r>
        <w:t xml:space="preserve"> The monthly rate per connection will be $8.50 for twenty-three months. The attached memorandum from Anna Givens goes into more detail about rate case expenses and, referencing David Klein’s affidavit supporting the reasonableness of the agreed-upon rate case expenses, concludes that the settled monthly rate representing rate case expenses are reasonable and necessary. Additionally, as recommended by Ms. Givens, parties have agreed to insert language requiring Crystal Clear to submit a surcharge collection update report every six months until the $44,</w:t>
      </w:r>
      <w:r w:rsidR="00404F52">
        <w:t>96</w:t>
      </w:r>
      <w:r>
        <w:t xml:space="preserve">5 is collected </w:t>
      </w:r>
      <w:proofErr w:type="gramStart"/>
      <w:r>
        <w:t>in order to</w:t>
      </w:r>
      <w:proofErr w:type="gramEnd"/>
      <w:r>
        <w:t xml:space="preserve"> monitor the collection of this surcharge.</w:t>
      </w:r>
      <w:r w:rsidRPr="006D7AD5">
        <w:rPr>
          <w:rStyle w:val="FootnoteReference"/>
        </w:rPr>
        <w:footnoteReference w:id="7"/>
      </w:r>
      <w:r>
        <w:t xml:space="preserve"> Finally, the associated tariff language for the rate-case-expense surcharge can be found on page two of the tariff.</w:t>
      </w:r>
      <w:r w:rsidRPr="006D7AD5">
        <w:rPr>
          <w:rStyle w:val="FootnoteReference"/>
        </w:rPr>
        <w:footnoteReference w:id="8"/>
      </w:r>
      <w:r w:rsidR="001A09FF">
        <w:t xml:space="preserve">. </w:t>
      </w:r>
    </w:p>
    <w:p w14:paraId="6CBBA92D" w14:textId="77777777" w:rsidR="00DA790F" w:rsidRDefault="00B50F0E" w:rsidP="001F5306">
      <w:pPr>
        <w:pStyle w:val="Heading1"/>
        <w:numPr>
          <w:ilvl w:val="0"/>
          <w:numId w:val="27"/>
        </w:numPr>
        <w:tabs>
          <w:tab w:val="clear" w:pos="1440"/>
        </w:tabs>
        <w:spacing w:after="120"/>
        <w:ind w:left="0" w:right="0" w:firstLine="0"/>
      </w:pPr>
      <w:r w:rsidRPr="005E0AD2">
        <w:t>CONCLUSION</w:t>
      </w:r>
    </w:p>
    <w:p w14:paraId="765617DC" w14:textId="54DBD904" w:rsidR="00DA790F" w:rsidRDefault="00D20B9C" w:rsidP="008C04AB">
      <w:pPr>
        <w:pStyle w:val="Paragraph"/>
      </w:pPr>
      <w:r>
        <w:t>Based on the foregoing discussion, Staff respectfully requests the entry of an order approving Crystal Clear’s rate change application.</w:t>
      </w:r>
    </w:p>
    <w:p w14:paraId="5FDE3E25" w14:textId="77777777" w:rsidR="00B50F0E" w:rsidRPr="00F71D87" w:rsidRDefault="00B50F0E" w:rsidP="00B50F0E">
      <w:pPr>
        <w:spacing w:after="0"/>
        <w:ind w:firstLine="0"/>
        <w:rPr>
          <w:szCs w:val="20"/>
        </w:rPr>
      </w:pPr>
    </w:p>
    <w:p w14:paraId="6C02E895" w14:textId="7443B331"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404F52">
        <w:rPr>
          <w:noProof/>
        </w:rPr>
        <w:t>March 8, 2023</w:t>
      </w:r>
      <w:r w:rsidRPr="00F71D87">
        <w:fldChar w:fldCharType="end"/>
      </w:r>
    </w:p>
    <w:p w14:paraId="46A17F7C" w14:textId="77777777" w:rsidR="00B50F0E" w:rsidRPr="00F71D87" w:rsidRDefault="00B50F0E" w:rsidP="00B50F0E">
      <w:pPr>
        <w:keepNext/>
        <w:spacing w:after="0" w:line="480" w:lineRule="auto"/>
        <w:ind w:left="3600"/>
        <w:rPr>
          <w:szCs w:val="20"/>
        </w:rPr>
      </w:pPr>
      <w:r w:rsidRPr="00F71D87">
        <w:rPr>
          <w:szCs w:val="20"/>
        </w:rPr>
        <w:t>Respectfully submitted,</w:t>
      </w:r>
    </w:p>
    <w:p w14:paraId="3CA48C7E"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0FAE8C74" w14:textId="77777777" w:rsidR="00B50F0E" w:rsidRPr="00F71D87" w:rsidRDefault="00B50F0E" w:rsidP="00B50F0E">
      <w:pPr>
        <w:keepNext/>
        <w:spacing w:after="0" w:line="240" w:lineRule="auto"/>
        <w:ind w:left="4320" w:firstLine="0"/>
        <w:contextualSpacing/>
        <w:rPr>
          <w:b/>
        </w:rPr>
      </w:pPr>
      <w:r w:rsidRPr="00F71D87">
        <w:rPr>
          <w:b/>
        </w:rPr>
        <w:t>LEGAL DIVISION</w:t>
      </w:r>
    </w:p>
    <w:p w14:paraId="364EE6FA" w14:textId="77777777" w:rsidR="00B50F0E" w:rsidRPr="00F71D87" w:rsidRDefault="00B50F0E" w:rsidP="00B50F0E">
      <w:pPr>
        <w:keepNext/>
        <w:spacing w:after="0" w:line="240" w:lineRule="auto"/>
        <w:ind w:firstLine="0"/>
        <w:rPr>
          <w:szCs w:val="20"/>
        </w:rPr>
      </w:pPr>
    </w:p>
    <w:p w14:paraId="0BFFDE70" w14:textId="77777777" w:rsidR="00B50F0E" w:rsidRPr="00F71D87" w:rsidRDefault="00B50F0E" w:rsidP="00B50F0E">
      <w:pPr>
        <w:keepNext/>
        <w:spacing w:after="0" w:line="240" w:lineRule="auto"/>
        <w:ind w:left="4320" w:firstLine="0"/>
        <w:rPr>
          <w:szCs w:val="20"/>
        </w:rPr>
      </w:pPr>
      <w:r w:rsidRPr="00F71D87">
        <w:rPr>
          <w:szCs w:val="20"/>
        </w:rPr>
        <w:t>Keith Rogas</w:t>
      </w:r>
    </w:p>
    <w:p w14:paraId="72052B74" w14:textId="77777777" w:rsidR="00B50F0E" w:rsidRPr="00F71D87" w:rsidRDefault="00B50F0E" w:rsidP="00B50F0E">
      <w:pPr>
        <w:keepNext/>
        <w:spacing w:after="0" w:line="240" w:lineRule="auto"/>
        <w:ind w:left="4320" w:firstLine="0"/>
        <w:rPr>
          <w:szCs w:val="20"/>
        </w:rPr>
      </w:pPr>
      <w:r w:rsidRPr="00F71D87">
        <w:rPr>
          <w:szCs w:val="20"/>
        </w:rPr>
        <w:t>Division Director</w:t>
      </w:r>
    </w:p>
    <w:p w14:paraId="4B60E6E5" w14:textId="77777777" w:rsidR="00B50F0E" w:rsidRPr="00F71D87" w:rsidRDefault="00B50F0E" w:rsidP="00B50F0E">
      <w:pPr>
        <w:keepNext/>
        <w:spacing w:after="0" w:line="240" w:lineRule="auto"/>
        <w:ind w:left="4320" w:firstLine="0"/>
        <w:rPr>
          <w:szCs w:val="20"/>
        </w:rPr>
      </w:pPr>
    </w:p>
    <w:p w14:paraId="5F86AC71" w14:textId="77777777" w:rsidR="00B50F0E" w:rsidRPr="00F71D87" w:rsidRDefault="00B50F0E" w:rsidP="00B50F0E">
      <w:pPr>
        <w:keepNext/>
        <w:spacing w:after="0" w:line="240" w:lineRule="auto"/>
        <w:ind w:left="4320" w:firstLine="0"/>
        <w:rPr>
          <w:szCs w:val="20"/>
        </w:rPr>
      </w:pPr>
      <w:r>
        <w:rPr>
          <w:szCs w:val="20"/>
        </w:rPr>
        <w:t>John Harrison</w:t>
      </w:r>
    </w:p>
    <w:p w14:paraId="4C924F4E" w14:textId="77777777" w:rsidR="00B50F0E" w:rsidRPr="00F71D87" w:rsidRDefault="00B50F0E" w:rsidP="00B50F0E">
      <w:pPr>
        <w:keepNext/>
        <w:spacing w:after="0" w:line="240" w:lineRule="auto"/>
        <w:ind w:left="4320" w:firstLine="0"/>
        <w:rPr>
          <w:szCs w:val="20"/>
        </w:rPr>
      </w:pPr>
      <w:r w:rsidRPr="00F71D87">
        <w:rPr>
          <w:szCs w:val="20"/>
        </w:rPr>
        <w:t>Managing Attorney</w:t>
      </w:r>
    </w:p>
    <w:p w14:paraId="23F93E87" w14:textId="77777777" w:rsidR="00B50F0E" w:rsidRPr="00F71D87" w:rsidRDefault="00B50F0E" w:rsidP="00B50F0E">
      <w:pPr>
        <w:keepNext/>
        <w:spacing w:after="0" w:line="240" w:lineRule="auto"/>
        <w:ind w:left="4320" w:firstLine="0"/>
        <w:rPr>
          <w:szCs w:val="20"/>
        </w:rPr>
      </w:pPr>
    </w:p>
    <w:p w14:paraId="2BE076B1" w14:textId="77777777" w:rsidR="00B50F0E" w:rsidRPr="00F71D87" w:rsidRDefault="00B50F0E" w:rsidP="00B50F0E">
      <w:pPr>
        <w:keepNext/>
        <w:overflowPunct w:val="0"/>
        <w:autoSpaceDE w:val="0"/>
        <w:autoSpaceDN w:val="0"/>
        <w:adjustRightInd w:val="0"/>
        <w:spacing w:after="0" w:line="240" w:lineRule="auto"/>
        <w:ind w:left="4320" w:firstLine="0"/>
        <w:jc w:val="left"/>
        <w:textAlignment w:val="baseline"/>
      </w:pPr>
    </w:p>
    <w:p w14:paraId="5D36403D" w14:textId="492D0AF1" w:rsidR="00B50F0E" w:rsidRPr="008E575C" w:rsidRDefault="00B50F0E" w:rsidP="00B50F0E">
      <w:pPr>
        <w:keepNext/>
        <w:spacing w:after="0" w:line="240" w:lineRule="auto"/>
        <w:ind w:left="4320" w:firstLine="0"/>
        <w:rPr>
          <w:u w:val="single"/>
        </w:rPr>
      </w:pPr>
      <w:r w:rsidRPr="008E575C">
        <w:rPr>
          <w:u w:val="single"/>
        </w:rPr>
        <w:t xml:space="preserve">  /s/ </w:t>
      </w:r>
      <w:r w:rsidR="003B50E3">
        <w:rPr>
          <w:u w:val="single"/>
        </w:rPr>
        <w:t>Ian Groetsch</w:t>
      </w:r>
      <w:r w:rsidRPr="008E575C">
        <w:rPr>
          <w:u w:val="single"/>
        </w:rPr>
        <w:tab/>
      </w:r>
      <w:r w:rsidRPr="008E575C">
        <w:rPr>
          <w:u w:val="single"/>
        </w:rPr>
        <w:tab/>
      </w:r>
    </w:p>
    <w:p w14:paraId="054B3922" w14:textId="7E050FBC" w:rsidR="00B50F0E" w:rsidRPr="008E575C" w:rsidRDefault="003B50E3" w:rsidP="00B50F0E">
      <w:pPr>
        <w:keepNext/>
        <w:spacing w:after="0" w:line="240" w:lineRule="auto"/>
        <w:ind w:left="4320" w:firstLine="0"/>
      </w:pPr>
      <w:bookmarkStart w:id="4" w:name="_Hlk65663267"/>
      <w:r>
        <w:t>Ian Groetsch</w:t>
      </w:r>
    </w:p>
    <w:bookmarkEnd w:id="4"/>
    <w:p w14:paraId="31DB8014" w14:textId="77777777" w:rsidR="00B50F0E" w:rsidRPr="008E575C" w:rsidRDefault="00B50F0E" w:rsidP="00B50F0E">
      <w:pPr>
        <w:keepNext/>
        <w:spacing w:after="0" w:line="240" w:lineRule="auto"/>
        <w:ind w:left="4320" w:firstLine="0"/>
      </w:pPr>
      <w:r w:rsidRPr="008E575C">
        <w:t>State Bar No. 24121533</w:t>
      </w:r>
    </w:p>
    <w:p w14:paraId="4CCD57FB" w14:textId="77777777" w:rsidR="00B50F0E" w:rsidRPr="008E575C" w:rsidRDefault="00B50F0E" w:rsidP="00B50F0E">
      <w:pPr>
        <w:keepNext/>
        <w:spacing w:after="0" w:line="240" w:lineRule="auto"/>
        <w:ind w:left="4320" w:firstLine="0"/>
      </w:pPr>
      <w:r w:rsidRPr="008E575C">
        <w:t>1701 N. Congress Avenue</w:t>
      </w:r>
    </w:p>
    <w:p w14:paraId="7CB5146B" w14:textId="77777777" w:rsidR="00B50F0E" w:rsidRPr="008E575C" w:rsidRDefault="00B50F0E" w:rsidP="00B50F0E">
      <w:pPr>
        <w:keepNext/>
        <w:spacing w:after="0" w:line="240" w:lineRule="auto"/>
        <w:ind w:left="4320" w:firstLine="0"/>
      </w:pPr>
      <w:r w:rsidRPr="008E575C">
        <w:t>P.O. Box 13326</w:t>
      </w:r>
    </w:p>
    <w:p w14:paraId="49DD3DB6" w14:textId="77777777" w:rsidR="00B50F0E" w:rsidRPr="008E575C" w:rsidRDefault="00B50F0E" w:rsidP="00B50F0E">
      <w:pPr>
        <w:keepNext/>
        <w:spacing w:after="0" w:line="240" w:lineRule="auto"/>
        <w:ind w:left="4320" w:firstLine="0"/>
      </w:pPr>
      <w:r w:rsidRPr="008E575C">
        <w:t>Austin, Texas 78711-3326</w:t>
      </w:r>
    </w:p>
    <w:p w14:paraId="47955E3C" w14:textId="1B300DB0" w:rsidR="00B50F0E" w:rsidRPr="008E575C" w:rsidRDefault="00B50F0E" w:rsidP="00B50F0E">
      <w:pPr>
        <w:keepNext/>
        <w:spacing w:after="0" w:line="240" w:lineRule="auto"/>
        <w:ind w:left="4320" w:firstLine="0"/>
      </w:pPr>
      <w:r w:rsidRPr="008E575C">
        <w:t>(512) 936-7</w:t>
      </w:r>
      <w:r w:rsidR="003B50E3">
        <w:t>465</w:t>
      </w:r>
    </w:p>
    <w:p w14:paraId="484D0BF2" w14:textId="77777777" w:rsidR="00B50F0E" w:rsidRPr="008E575C" w:rsidRDefault="00B50F0E" w:rsidP="00B50F0E">
      <w:pPr>
        <w:keepNext/>
        <w:spacing w:after="0" w:line="240" w:lineRule="auto"/>
        <w:ind w:left="4320" w:firstLine="0"/>
      </w:pPr>
      <w:r w:rsidRPr="008E575C">
        <w:t>(512) 936-7268 (facsimile)</w:t>
      </w:r>
    </w:p>
    <w:p w14:paraId="4ED02F2F" w14:textId="7B207DA3" w:rsidR="00B50F0E" w:rsidRPr="008E575C" w:rsidRDefault="003B50E3" w:rsidP="00B50F0E">
      <w:pPr>
        <w:keepNext/>
        <w:spacing w:after="0" w:line="240" w:lineRule="auto"/>
        <w:ind w:left="4320" w:firstLine="0"/>
      </w:pPr>
      <w:r>
        <w:t>ian.groetsch</w:t>
      </w:r>
      <w:r w:rsidR="00B50F0E" w:rsidRPr="008E575C">
        <w:t>@puc.texas.gov</w:t>
      </w:r>
    </w:p>
    <w:p w14:paraId="23AF09F9" w14:textId="77777777" w:rsidR="00B50F0E" w:rsidRDefault="00B50F0E" w:rsidP="00B50F0E">
      <w:pPr>
        <w:pStyle w:val="Paragraph"/>
        <w:ind w:firstLine="0"/>
      </w:pPr>
    </w:p>
    <w:p w14:paraId="0D1E5E84" w14:textId="77777777" w:rsidR="0059201D" w:rsidRPr="0051021C" w:rsidRDefault="0059201D" w:rsidP="00BB5A8B">
      <w:pPr>
        <w:pStyle w:val="Paragraph"/>
        <w:ind w:firstLine="0"/>
      </w:pPr>
    </w:p>
    <w:p w14:paraId="611CA540"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73263F" w:rsidRPr="00EF7381">
        <w:t>Docket</w:t>
      </w:r>
      <w:r w:rsidR="0073263F" w:rsidRPr="00D92C94">
        <w:t xml:space="preserve"> No</w:t>
      </w:r>
      <w:r w:rsidR="0073263F" w:rsidRPr="008647EB">
        <w:t>.</w:t>
      </w:r>
      <w:r w:rsidR="0073263F">
        <w:t xml:space="preserve"> 50721</w:t>
      </w:r>
      <w:r w:rsidR="0073263F" w:rsidRPr="0073263F">
        <w:rPr>
          <w:rStyle w:val="PlaceholderText"/>
        </w:rPr>
        <w:t xml:space="preserve"> </w:t>
      </w:r>
      <w:r w:rsidRPr="007E3A22">
        <w:rPr>
          <w:bCs/>
        </w:rPr>
        <w:fldChar w:fldCharType="end"/>
      </w:r>
    </w:p>
    <w:p w14:paraId="22FC640A" w14:textId="77777777" w:rsidR="00DA790F" w:rsidRPr="008647EB" w:rsidRDefault="00DA790F" w:rsidP="00092070">
      <w:pPr>
        <w:pStyle w:val="CaseCaption"/>
      </w:pPr>
      <w:r w:rsidRPr="008647EB">
        <w:t>CERTIFICATE OF SERVICE</w:t>
      </w:r>
    </w:p>
    <w:p w14:paraId="47969AAA" w14:textId="7B8EA2D7"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404F52">
        <w:rPr>
          <w:noProof/>
        </w:rPr>
        <w:t>March 8, 2023</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77B84D16" w14:textId="77777777" w:rsidR="00B50F0E" w:rsidRPr="008647EB" w:rsidRDefault="00B50F0E" w:rsidP="00553B64">
      <w:pPr>
        <w:pStyle w:val="Paragraph"/>
        <w:keepNext/>
        <w:keepLines/>
      </w:pPr>
    </w:p>
    <w:p w14:paraId="74724352" w14:textId="2B58E957" w:rsidR="00B50F0E" w:rsidRPr="008E575C" w:rsidRDefault="00B50F0E" w:rsidP="00B50F0E">
      <w:pPr>
        <w:keepNext/>
        <w:spacing w:after="0" w:line="240" w:lineRule="auto"/>
        <w:ind w:left="4320" w:firstLine="0"/>
        <w:rPr>
          <w:u w:val="single"/>
        </w:rPr>
      </w:pPr>
      <w:r w:rsidRPr="008E575C">
        <w:rPr>
          <w:u w:val="single"/>
        </w:rPr>
        <w:t xml:space="preserve">  /s/ </w:t>
      </w:r>
      <w:r w:rsidR="003B50E3">
        <w:rPr>
          <w:u w:val="single"/>
        </w:rPr>
        <w:t>Ian Groetsch</w:t>
      </w:r>
      <w:r w:rsidRPr="008E575C">
        <w:rPr>
          <w:u w:val="single"/>
        </w:rPr>
        <w:tab/>
      </w:r>
      <w:r w:rsidRPr="008E575C">
        <w:rPr>
          <w:u w:val="single"/>
        </w:rPr>
        <w:tab/>
      </w:r>
    </w:p>
    <w:p w14:paraId="5E8D8438" w14:textId="60D032DA" w:rsidR="00B50F0E" w:rsidRPr="008E575C" w:rsidRDefault="003B50E3" w:rsidP="00B50F0E">
      <w:pPr>
        <w:keepNext/>
        <w:spacing w:after="0" w:line="240" w:lineRule="auto"/>
        <w:ind w:left="4320" w:firstLine="0"/>
      </w:pPr>
      <w:r>
        <w:t>Ian Groetsch</w:t>
      </w:r>
    </w:p>
    <w:p w14:paraId="761633AE"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40880" w14:textId="77777777" w:rsidR="00CE3DD3" w:rsidRDefault="00CE3DD3">
      <w:pPr>
        <w:spacing w:after="0" w:line="240" w:lineRule="auto"/>
      </w:pPr>
      <w:r>
        <w:separator/>
      </w:r>
    </w:p>
  </w:endnote>
  <w:endnote w:type="continuationSeparator" w:id="0">
    <w:p w14:paraId="68D4CCEB" w14:textId="77777777" w:rsidR="00CE3DD3" w:rsidRDefault="00CE3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96ED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CAEBA93" w14:textId="77777777" w:rsidR="00071BFA" w:rsidRDefault="00071BFA" w:rsidP="008016FB">
    <w:pPr>
      <w:pStyle w:val="Footer"/>
    </w:pPr>
  </w:p>
  <w:p w14:paraId="46386C46" w14:textId="77777777" w:rsidR="00071BFA" w:rsidRDefault="00071BFA" w:rsidP="008016FB"/>
  <w:p w14:paraId="7D9E8F38"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1B522" w14:textId="77777777" w:rsidR="00CE3DD3" w:rsidRDefault="00CE3DD3">
      <w:pPr>
        <w:spacing w:after="0" w:line="240" w:lineRule="auto"/>
      </w:pPr>
      <w:r>
        <w:separator/>
      </w:r>
    </w:p>
  </w:footnote>
  <w:footnote w:type="continuationSeparator" w:id="0">
    <w:p w14:paraId="12310D81" w14:textId="77777777" w:rsidR="00CE3DD3" w:rsidRDefault="00CE3DD3">
      <w:pPr>
        <w:spacing w:after="0" w:line="240" w:lineRule="auto"/>
      </w:pPr>
      <w:r>
        <w:continuationSeparator/>
      </w:r>
    </w:p>
  </w:footnote>
  <w:footnote w:type="continuationNotice" w:id="1">
    <w:p w14:paraId="6C7B7092" w14:textId="77777777" w:rsidR="00CE3DD3" w:rsidRDefault="00CE3DD3">
      <w:pPr>
        <w:spacing w:after="0" w:line="240" w:lineRule="auto"/>
      </w:pPr>
    </w:p>
  </w:footnote>
  <w:footnote w:id="2">
    <w:p w14:paraId="3B38CEF6" w14:textId="77777777" w:rsidR="00F26DBD" w:rsidRPr="009B4CA1" w:rsidRDefault="00F26DBD" w:rsidP="00F26DBD">
      <w:pPr>
        <w:pStyle w:val="FootnoteText"/>
      </w:pPr>
      <w:r w:rsidRPr="008A490C">
        <w:rPr>
          <w:rStyle w:val="FootnoteReference"/>
          <w:szCs w:val="20"/>
        </w:rPr>
        <w:footnoteRef/>
      </w:r>
      <w:r w:rsidRPr="009B4CA1">
        <w:rPr>
          <w:sz w:val="16"/>
          <w:szCs w:val="16"/>
        </w:rPr>
        <w:t xml:space="preserve"> </w:t>
      </w:r>
      <w:r>
        <w:rPr>
          <w:sz w:val="16"/>
          <w:szCs w:val="16"/>
        </w:rPr>
        <w:t xml:space="preserve"> </w:t>
      </w:r>
      <w:r>
        <w:t>Crystal Clear Water, Inc’s Response to Order Remanding to Docket Management and Motion to Admit Additional Evidence (Aug. 1, 2022).</w:t>
      </w:r>
    </w:p>
  </w:footnote>
  <w:footnote w:id="3">
    <w:p w14:paraId="28F01173" w14:textId="77777777" w:rsidR="00F26DBD" w:rsidRPr="00B14E41" w:rsidRDefault="00F26DBD" w:rsidP="00F26DBD">
      <w:pPr>
        <w:pStyle w:val="FootnoteText"/>
        <w:rPr>
          <w:i/>
          <w:iCs/>
        </w:rPr>
      </w:pPr>
      <w:r w:rsidRPr="008A490C">
        <w:rPr>
          <w:rStyle w:val="FootnoteReference"/>
          <w:szCs w:val="20"/>
        </w:rPr>
        <w:footnoteRef/>
      </w:r>
      <w:r>
        <w:t xml:space="preserve">  </w:t>
      </w:r>
      <w:r>
        <w:rPr>
          <w:i/>
          <w:iCs/>
        </w:rPr>
        <w:t>Id.</w:t>
      </w:r>
    </w:p>
  </w:footnote>
  <w:footnote w:id="4">
    <w:p w14:paraId="3296C3E4" w14:textId="77777777" w:rsidR="00F26DBD" w:rsidRPr="00727A1E" w:rsidRDefault="00F26DBD" w:rsidP="00F26DBD">
      <w:pPr>
        <w:pStyle w:val="FootnoteText"/>
        <w:rPr>
          <w:szCs w:val="20"/>
        </w:rPr>
      </w:pPr>
      <w:r w:rsidRPr="008A490C">
        <w:rPr>
          <w:rStyle w:val="FootnoteReference"/>
          <w:szCs w:val="20"/>
        </w:rPr>
        <w:footnoteRef/>
      </w:r>
      <w:r w:rsidRPr="00727A1E">
        <w:rPr>
          <w:sz w:val="16"/>
          <w:szCs w:val="16"/>
        </w:rPr>
        <w:t xml:space="preserve"> </w:t>
      </w:r>
      <w:r>
        <w:rPr>
          <w:sz w:val="16"/>
          <w:szCs w:val="16"/>
        </w:rPr>
        <w:t xml:space="preserve"> </w:t>
      </w:r>
      <w:r>
        <w:t>Crystal Clear Water, Inc.’s Supplemental Response to Order Remanding to Docket Management, Motion to Admit Additional Evidence, and Motion for Extension of Time at 6 and Exhibit D (Sep. 12, 2022).</w:t>
      </w:r>
    </w:p>
  </w:footnote>
  <w:footnote w:id="5">
    <w:p w14:paraId="5CE5DCDD" w14:textId="795C1026" w:rsidR="00F26DBD" w:rsidRPr="00727A1E" w:rsidRDefault="00F26DBD" w:rsidP="00F26DBD">
      <w:pPr>
        <w:pStyle w:val="FootnoteText"/>
        <w:rPr>
          <w:sz w:val="16"/>
          <w:szCs w:val="16"/>
        </w:rPr>
      </w:pPr>
      <w:r w:rsidRPr="008A490C">
        <w:rPr>
          <w:rStyle w:val="FootnoteReference"/>
          <w:szCs w:val="20"/>
        </w:rPr>
        <w:footnoteRef/>
      </w:r>
      <w:r w:rsidRPr="008A490C">
        <w:rPr>
          <w:szCs w:val="20"/>
          <w:vertAlign w:val="superscript"/>
        </w:rPr>
        <w:t xml:space="preserve"> </w:t>
      </w:r>
      <w:r>
        <w:rPr>
          <w:sz w:val="16"/>
          <w:szCs w:val="16"/>
        </w:rPr>
        <w:t xml:space="preserve"> </w:t>
      </w:r>
      <w:r>
        <w:t xml:space="preserve">Crystal Clear Water, Inc.’s Response to Order Remanding to Docket Management and </w:t>
      </w:r>
      <w:r w:rsidR="008A490C">
        <w:t>Motion</w:t>
      </w:r>
      <w:r>
        <w:t xml:space="preserve"> to Admit Additional Evidence at 6 and Exhibit C (Aug. 1, 2022).</w:t>
      </w:r>
      <w:r w:rsidRPr="00727A1E">
        <w:rPr>
          <w:sz w:val="16"/>
          <w:szCs w:val="16"/>
        </w:rPr>
        <w:t xml:space="preserve"> </w:t>
      </w:r>
    </w:p>
  </w:footnote>
  <w:footnote w:id="6">
    <w:p w14:paraId="27C5AEC8" w14:textId="77777777" w:rsidR="00F26DBD" w:rsidRPr="006D7AD5" w:rsidRDefault="00F26DBD" w:rsidP="00F26DBD">
      <w:pPr>
        <w:pStyle w:val="FootnoteText"/>
      </w:pPr>
      <w:r w:rsidRPr="0040404D">
        <w:rPr>
          <w:rStyle w:val="FootnoteReference"/>
          <w:sz w:val="16"/>
          <w:szCs w:val="16"/>
        </w:rPr>
        <w:footnoteRef/>
      </w:r>
      <w:r w:rsidRPr="0040404D">
        <w:t xml:space="preserve">  </w:t>
      </w:r>
      <w:r w:rsidRPr="0040404D">
        <w:rPr>
          <w:i/>
          <w:iCs/>
        </w:rPr>
        <w:t>See</w:t>
      </w:r>
      <w:r w:rsidRPr="0040404D">
        <w:t xml:space="preserve"> </w:t>
      </w:r>
      <w:r>
        <w:t>Second Revised Unanimous Stipulation and Settlement Agreement at 15 and Attachment A, Second Revised Joint Proposed Final Order, Findings of Fact Nos. 72−73 and Ordering Paragraphs No. 6 (Mar. 8, 2023).</w:t>
      </w:r>
    </w:p>
  </w:footnote>
  <w:footnote w:id="7">
    <w:p w14:paraId="65CEF0E4" w14:textId="77777777" w:rsidR="00F26DBD" w:rsidRDefault="00F26DBD" w:rsidP="00F26DBD">
      <w:pPr>
        <w:pStyle w:val="FootnoteText"/>
      </w:pPr>
      <w:r w:rsidRPr="006D7AD5">
        <w:rPr>
          <w:rStyle w:val="FootnoteReference"/>
          <w:sz w:val="16"/>
          <w:szCs w:val="16"/>
        </w:rPr>
        <w:footnoteRef/>
      </w:r>
      <w:r>
        <w:t xml:space="preserve">  </w:t>
      </w:r>
      <w:r>
        <w:rPr>
          <w:i/>
          <w:iCs/>
        </w:rPr>
        <w:t>Id.</w:t>
      </w:r>
      <w:r>
        <w:t>, Attachment A at Ordering Paragraphs No. 7 (Mar. 8, 2023).</w:t>
      </w:r>
    </w:p>
  </w:footnote>
  <w:footnote w:id="8">
    <w:p w14:paraId="4EFC4A8C" w14:textId="77777777" w:rsidR="00F26DBD" w:rsidRDefault="00F26DBD" w:rsidP="00F26DBD">
      <w:pPr>
        <w:pStyle w:val="FootnoteText"/>
      </w:pPr>
      <w:r w:rsidRPr="006D7AD5">
        <w:rPr>
          <w:rStyle w:val="FootnoteReference"/>
          <w:sz w:val="16"/>
          <w:szCs w:val="16"/>
        </w:rPr>
        <w:footnoteRef/>
      </w:r>
      <w:r>
        <w:t xml:space="preserve">  </w:t>
      </w:r>
      <w:r>
        <w:rPr>
          <w:i/>
          <w:iCs/>
        </w:rPr>
        <w:t>Id.</w:t>
      </w:r>
      <w:r>
        <w:t xml:space="preserve">, Attachment B, Proposed Tariff at 45 (Water Tariff Page No. </w:t>
      </w:r>
      <w:r w:rsidRPr="0040404D">
        <w:t>2) (Mar. 8,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08568"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1573A0"/>
    <w:multiLevelType w:val="hybridMultilevel"/>
    <w:tmpl w:val="0494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6543F9D"/>
    <w:multiLevelType w:val="hybridMultilevel"/>
    <w:tmpl w:val="6978B4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BB249B8"/>
    <w:multiLevelType w:val="hybridMultilevel"/>
    <w:tmpl w:val="D6CE15FA"/>
    <w:lvl w:ilvl="0" w:tplc="2BDC0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746464235">
    <w:abstractNumId w:val="11"/>
  </w:num>
  <w:num w:numId="2" w16cid:durableId="1298072974">
    <w:abstractNumId w:val="27"/>
  </w:num>
  <w:num w:numId="3" w16cid:durableId="440489070">
    <w:abstractNumId w:val="17"/>
  </w:num>
  <w:num w:numId="4" w16cid:durableId="1232617261">
    <w:abstractNumId w:val="14"/>
  </w:num>
  <w:num w:numId="5" w16cid:durableId="1061830559">
    <w:abstractNumId w:val="26"/>
  </w:num>
  <w:num w:numId="6" w16cid:durableId="729839916">
    <w:abstractNumId w:val="25"/>
  </w:num>
  <w:num w:numId="7" w16cid:durableId="850068414">
    <w:abstractNumId w:val="18"/>
  </w:num>
  <w:num w:numId="8" w16cid:durableId="1283925436">
    <w:abstractNumId w:val="19"/>
  </w:num>
  <w:num w:numId="9" w16cid:durableId="1113744756">
    <w:abstractNumId w:val="22"/>
  </w:num>
  <w:num w:numId="10" w16cid:durableId="2008091505">
    <w:abstractNumId w:val="24"/>
  </w:num>
  <w:num w:numId="11" w16cid:durableId="690032045">
    <w:abstractNumId w:val="15"/>
  </w:num>
  <w:num w:numId="12" w16cid:durableId="1097336769">
    <w:abstractNumId w:val="21"/>
  </w:num>
  <w:num w:numId="13" w16cid:durableId="101926300">
    <w:abstractNumId w:val="9"/>
  </w:num>
  <w:num w:numId="14" w16cid:durableId="209660208">
    <w:abstractNumId w:val="7"/>
  </w:num>
  <w:num w:numId="15" w16cid:durableId="2143884439">
    <w:abstractNumId w:val="6"/>
  </w:num>
  <w:num w:numId="16" w16cid:durableId="834223032">
    <w:abstractNumId w:val="5"/>
  </w:num>
  <w:num w:numId="17" w16cid:durableId="1682779176">
    <w:abstractNumId w:val="4"/>
  </w:num>
  <w:num w:numId="18" w16cid:durableId="864900737">
    <w:abstractNumId w:val="8"/>
  </w:num>
  <w:num w:numId="19" w16cid:durableId="1407262119">
    <w:abstractNumId w:val="3"/>
  </w:num>
  <w:num w:numId="20" w16cid:durableId="142160885">
    <w:abstractNumId w:val="2"/>
  </w:num>
  <w:num w:numId="21" w16cid:durableId="1891531586">
    <w:abstractNumId w:val="1"/>
  </w:num>
  <w:num w:numId="22" w16cid:durableId="399712966">
    <w:abstractNumId w:val="0"/>
  </w:num>
  <w:num w:numId="23" w16cid:durableId="1978215977">
    <w:abstractNumId w:val="12"/>
  </w:num>
  <w:num w:numId="24" w16cid:durableId="67659160">
    <w:abstractNumId w:val="16"/>
  </w:num>
  <w:num w:numId="25" w16cid:durableId="377317944">
    <w:abstractNumId w:val="20"/>
  </w:num>
  <w:num w:numId="26" w16cid:durableId="1547060258">
    <w:abstractNumId w:val="10"/>
  </w:num>
  <w:num w:numId="27" w16cid:durableId="796947610">
    <w:abstractNumId w:val="23"/>
  </w:num>
  <w:num w:numId="28" w16cid:durableId="4274273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63F"/>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44B4"/>
    <w:rsid w:val="00191CC3"/>
    <w:rsid w:val="00194DC4"/>
    <w:rsid w:val="00195608"/>
    <w:rsid w:val="0019726B"/>
    <w:rsid w:val="00197531"/>
    <w:rsid w:val="001A09FF"/>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306"/>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0FA"/>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1F3A"/>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50E3"/>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4F52"/>
    <w:rsid w:val="00406716"/>
    <w:rsid w:val="00411745"/>
    <w:rsid w:val="00411DD4"/>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A619A"/>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54E0"/>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250D"/>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2F97"/>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263F"/>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490C"/>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5CEB"/>
    <w:rsid w:val="00A265AF"/>
    <w:rsid w:val="00A26D1E"/>
    <w:rsid w:val="00A307DF"/>
    <w:rsid w:val="00A30819"/>
    <w:rsid w:val="00A31228"/>
    <w:rsid w:val="00A3140C"/>
    <w:rsid w:val="00A32388"/>
    <w:rsid w:val="00A3393F"/>
    <w:rsid w:val="00A357F1"/>
    <w:rsid w:val="00A363EE"/>
    <w:rsid w:val="00A36FC0"/>
    <w:rsid w:val="00A37509"/>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43B"/>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3DD3"/>
    <w:rsid w:val="00CE6EF2"/>
    <w:rsid w:val="00CE7B70"/>
    <w:rsid w:val="00CF0D77"/>
    <w:rsid w:val="00CF24C6"/>
    <w:rsid w:val="00D005C3"/>
    <w:rsid w:val="00D01DC2"/>
    <w:rsid w:val="00D03766"/>
    <w:rsid w:val="00D07F00"/>
    <w:rsid w:val="00D11758"/>
    <w:rsid w:val="00D12BA5"/>
    <w:rsid w:val="00D14F1D"/>
    <w:rsid w:val="00D207FC"/>
    <w:rsid w:val="00D20B9C"/>
    <w:rsid w:val="00D2238A"/>
    <w:rsid w:val="00D22841"/>
    <w:rsid w:val="00D2284D"/>
    <w:rsid w:val="00D2442A"/>
    <w:rsid w:val="00D30C72"/>
    <w:rsid w:val="00D32134"/>
    <w:rsid w:val="00D329C5"/>
    <w:rsid w:val="00D32DFB"/>
    <w:rsid w:val="00D3321D"/>
    <w:rsid w:val="00D33BD9"/>
    <w:rsid w:val="00D35DEF"/>
    <w:rsid w:val="00D43BCA"/>
    <w:rsid w:val="00D44CF6"/>
    <w:rsid w:val="00D5069B"/>
    <w:rsid w:val="00D51BC7"/>
    <w:rsid w:val="00D52A4A"/>
    <w:rsid w:val="00D52F93"/>
    <w:rsid w:val="00D578EE"/>
    <w:rsid w:val="00D615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173B"/>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2463E"/>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6FD"/>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3718"/>
    <w:rsid w:val="00F06042"/>
    <w:rsid w:val="00F06133"/>
    <w:rsid w:val="00F121A6"/>
    <w:rsid w:val="00F125CC"/>
    <w:rsid w:val="00F1374C"/>
    <w:rsid w:val="00F16117"/>
    <w:rsid w:val="00F24387"/>
    <w:rsid w:val="00F24A55"/>
    <w:rsid w:val="00F26DAF"/>
    <w:rsid w:val="00F26DBD"/>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C6E33"/>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F0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uiPriority w:val="99"/>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AA684ADB274511A0B812F222063321"/>
        <w:category>
          <w:name w:val="General"/>
          <w:gallery w:val="placeholder"/>
        </w:category>
        <w:types>
          <w:type w:val="bbPlcHdr"/>
        </w:types>
        <w:behaviors>
          <w:behavior w:val="content"/>
        </w:behaviors>
        <w:guid w:val="{E27CDE46-AFA9-4705-BF8A-9C930010FB16}"/>
      </w:docPartPr>
      <w:docPartBody>
        <w:p w:rsidR="00AC62DA" w:rsidRDefault="005E4AE6">
          <w:pPr>
            <w:pStyle w:val="FCAA684ADB274511A0B812F222063321"/>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C08"/>
    <w:rsid w:val="003D6604"/>
    <w:rsid w:val="00480C08"/>
    <w:rsid w:val="005E4AE6"/>
    <w:rsid w:val="00824C7B"/>
    <w:rsid w:val="00923BF6"/>
    <w:rsid w:val="00AC62DA"/>
    <w:rsid w:val="00BA7D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0C08"/>
    <w:rPr>
      <w:color w:val="808080"/>
    </w:rPr>
  </w:style>
  <w:style w:type="paragraph" w:customStyle="1" w:styleId="FCAA684ADB274511A0B812F222063321">
    <w:name w:val="FCAA684ADB274511A0B812F2220633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2023-03-08T19:21:00Z</dcterms:created>
  <dcterms:modified xsi:type="dcterms:W3CDTF">2023-03-08T21:01:00Z</dcterms:modified>
</cp:coreProperties>
</file>